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D54F" w14:textId="097943C8" w:rsidR="004F4DCF" w:rsidRPr="004F4DCF" w:rsidRDefault="004F4DCF" w:rsidP="004F4DCF">
      <w:pPr>
        <w:spacing w:line="360" w:lineRule="auto"/>
        <w:jc w:val="both"/>
        <w:rPr>
          <w:rFonts w:ascii="Invesco Interstate Bold" w:hAnsi="Invesco Interstate Bold"/>
          <w:b/>
          <w:bCs/>
          <w:sz w:val="28"/>
          <w:szCs w:val="28"/>
        </w:rPr>
      </w:pPr>
      <w:r w:rsidRPr="004F4DCF">
        <w:rPr>
          <w:rFonts w:ascii="Invesco Interstate Bold" w:hAnsi="Invesco Interstate Bold"/>
          <w:b/>
          <w:bCs/>
          <w:sz w:val="28"/>
          <w:szCs w:val="28"/>
        </w:rPr>
        <w:t xml:space="preserve">Výhled </w:t>
      </w:r>
      <w:r w:rsidR="00773251">
        <w:rPr>
          <w:rFonts w:ascii="Invesco Interstate Bold" w:hAnsi="Invesco Interstate Bold"/>
          <w:b/>
          <w:bCs/>
          <w:sz w:val="28"/>
          <w:szCs w:val="28"/>
        </w:rPr>
        <w:t xml:space="preserve">společnosti </w:t>
      </w:r>
      <w:proofErr w:type="spellStart"/>
      <w:r w:rsidR="00773251">
        <w:rPr>
          <w:rFonts w:ascii="Invesco Interstate Bold" w:hAnsi="Invesco Interstate Bold"/>
          <w:b/>
          <w:bCs/>
          <w:sz w:val="28"/>
          <w:szCs w:val="28"/>
        </w:rPr>
        <w:t>Invesco</w:t>
      </w:r>
      <w:proofErr w:type="spellEnd"/>
      <w:r w:rsidR="00773251">
        <w:rPr>
          <w:rFonts w:ascii="Invesco Interstate Bold" w:hAnsi="Invesco Interstate Bold"/>
          <w:b/>
          <w:bCs/>
          <w:sz w:val="28"/>
          <w:szCs w:val="28"/>
        </w:rPr>
        <w:t xml:space="preserve"> </w:t>
      </w:r>
      <w:r w:rsidRPr="004F4DCF">
        <w:rPr>
          <w:rFonts w:ascii="Invesco Interstate Bold" w:hAnsi="Invesco Interstate Bold"/>
          <w:b/>
          <w:bCs/>
          <w:sz w:val="28"/>
          <w:szCs w:val="28"/>
        </w:rPr>
        <w:t>na druhou polovinu roku 2026: Svět plný rozkolů? Odolnost přetrvá</w:t>
      </w:r>
    </w:p>
    <w:p w14:paraId="0AF7787E" w14:textId="77777777" w:rsidR="00263C5E" w:rsidRPr="000B3486" w:rsidRDefault="00263C5E" w:rsidP="00773251">
      <w:pPr>
        <w:spacing w:line="276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8B2063C" w14:textId="4CA06699" w:rsidR="004F4DCF" w:rsidRDefault="004F4DCF" w:rsidP="00773251">
      <w:pPr>
        <w:spacing w:line="276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Ekonomická data i výsledky firem naznačují, že globální ekonomika zůstává odolná navzdory celé řadě událostí, které by mohly potenciálně narušit ekonomický vývoj ve stále více fragmentovaném světě.</w:t>
      </w:r>
      <w:r w:rsidR="00773251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</w:t>
      </w:r>
      <w:r w:rsidRPr="004F4DCF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Investiční boom spojený s umělou inteligencí (AI) vedl k silnému růstu zisků v čele s technologickým sektorem. Poptávka datových center po čipech a energiích </w:t>
      </w:r>
      <w:r w:rsidR="00773251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ale </w:t>
      </w:r>
      <w:r w:rsidRPr="004F4DCF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podporuje společnosti působící v oblasti polovodičů a hardwaru.</w:t>
      </w:r>
    </w:p>
    <w:p w14:paraId="066EF0B1" w14:textId="77777777" w:rsidR="00773251" w:rsidRDefault="00773251" w:rsidP="004F4DCF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6EF5B15F" w14:textId="0CB1780D" w:rsidR="00263C5E" w:rsidRPr="00773251" w:rsidRDefault="00773251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Benjamin Jones, globální vedoucí výzkumu společnosti </w:t>
      </w:r>
      <w:proofErr w:type="spellStart"/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Invesco</w:t>
      </w:r>
      <w:proofErr w:type="spellEnd"/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:</w:t>
      </w:r>
    </w:p>
    <w:p w14:paraId="39DA319E" w14:textId="479E0A87" w:rsid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Očekáváme, že globální ekonomika ve druhé polovině roku opět zrychlí. Tento vývoj však závisí, jestli nastane a kdy, obnovení energetických toků přes </w:t>
      </w:r>
      <w:proofErr w:type="spellStart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Hormuzský</w:t>
      </w:r>
      <w:proofErr w:type="spellEnd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průliv.</w:t>
      </w:r>
      <w:r w:rsidR="00773251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V našem výhledu na rok 2026 jsme argumentovali tím, že pevnější globální růst by měl letos nahrávat akciím mimo Spojené státy a zároveň vytvářet tlak na oslabení amerického dolaru. Nedávné události toto podle našeho názoru oddálily, nikoliv ukončily. Ve světě, který prochází rozsáhlými změnami, věříme, že odolnost přetrvává a nadále vytváří příznivé investiční prostředí.</w:t>
      </w:r>
    </w:p>
    <w:p w14:paraId="510336BB" w14:textId="77777777" w:rsidR="00773251" w:rsidRDefault="00773251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25FCC0C" w14:textId="7023B7DB" w:rsidR="00773251" w:rsidRDefault="00773251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hAnsi="Invesco Interstate Light"/>
          <w:b/>
          <w:bCs/>
          <w:noProof/>
          <w:sz w:val="22"/>
          <w:szCs w:val="22"/>
        </w:rPr>
        <w:drawing>
          <wp:inline distT="0" distB="0" distL="0" distR="0" wp14:anchorId="2551420C" wp14:editId="395F9902">
            <wp:extent cx="4838700" cy="3848100"/>
            <wp:effectExtent l="0" t="0" r="0" b="0"/>
            <wp:docPr id="18929566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956655" name="Obrázek 189295665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6838" w14:textId="646D12FE" w:rsidR="00773251" w:rsidRDefault="00773251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hAnsi="Invesco Interstate Light"/>
          <w:sz w:val="22"/>
          <w:szCs w:val="22"/>
        </w:rPr>
        <w:t xml:space="preserve">Zdroj: </w:t>
      </w:r>
      <w:proofErr w:type="spellStart"/>
      <w:r w:rsidRPr="004F4DCF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4F4DCF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4F4DCF">
        <w:rPr>
          <w:rFonts w:ascii="Invesco Interstate Light" w:hAnsi="Invesco Interstate Light"/>
          <w:sz w:val="22"/>
          <w:szCs w:val="22"/>
        </w:rPr>
        <w:t>Strategy</w:t>
      </w:r>
      <w:proofErr w:type="spellEnd"/>
      <w:r w:rsidRPr="004F4DCF">
        <w:rPr>
          <w:rFonts w:ascii="Invesco Interstate Light" w:hAnsi="Invesco Interstate Light"/>
          <w:sz w:val="22"/>
          <w:szCs w:val="22"/>
        </w:rPr>
        <w:t xml:space="preserve"> &amp; </w:t>
      </w:r>
      <w:proofErr w:type="spellStart"/>
      <w:r w:rsidRPr="004F4DCF">
        <w:rPr>
          <w:rFonts w:ascii="Invesco Interstate Light" w:hAnsi="Invesco Interstate Light"/>
          <w:sz w:val="22"/>
          <w:szCs w:val="22"/>
        </w:rPr>
        <w:t>Insights</w:t>
      </w:r>
      <w:proofErr w:type="spellEnd"/>
      <w:r w:rsidRPr="004F4DCF">
        <w:rPr>
          <w:rFonts w:ascii="Invesco Interstate Light" w:hAnsi="Invesco Interstate Light"/>
          <w:sz w:val="22"/>
          <w:szCs w:val="22"/>
        </w:rPr>
        <w:t xml:space="preserve">, </w:t>
      </w:r>
      <w:proofErr w:type="spellStart"/>
      <w:r w:rsidRPr="004F4DCF">
        <w:rPr>
          <w:rFonts w:ascii="Invesco Interstate Light" w:hAnsi="Invesco Interstate Light"/>
          <w:sz w:val="22"/>
          <w:szCs w:val="22"/>
        </w:rPr>
        <w:t>Bloomberg</w:t>
      </w:r>
      <w:proofErr w:type="spellEnd"/>
      <w:r w:rsidRPr="004F4DCF">
        <w:rPr>
          <w:rFonts w:ascii="Invesco Interstate Light" w:hAnsi="Invesco Interstate Light"/>
          <w:sz w:val="22"/>
          <w:szCs w:val="22"/>
        </w:rPr>
        <w:t xml:space="preserve"> L.P., k 31. květnu 2026</w:t>
      </w:r>
    </w:p>
    <w:p w14:paraId="1195EC47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2AE5F8E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Náš výhled do poloviny roku stojí na dvou klíčových tématech. Prvním je svět plný narušení. V první polovině roku čelila globální ekonomika celé řadě destabilizačních faktorů, včetně rozvoje umělé inteligence, geopolitických rozporů, uzavření </w:t>
      </w:r>
      <w:proofErr w:type="spellStart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Hormuzského</w:t>
      </w:r>
      <w:proofErr w:type="spellEnd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průlivu a narušení dodávek energií a komodit.</w:t>
      </w:r>
    </w:p>
    <w:p w14:paraId="7694864D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Druhým tématem je odolnost, která trvá. Podle našich analýz se zadlužení soukromého sektoru od globální finanční krize v roce 2008 snížilo. Předchozí snižování úrokových sazeb ve Spojených státech a ve Spojeném království spolu s uvolněnější fiskální politikou v Evropě a Japonsku současně vytváří podmínky pro postupné obnovení růstu zadlužení prostřednictvím silnějších investic a vyšších výdajů.</w:t>
      </w:r>
    </w:p>
    <w:p w14:paraId="7A99594E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AF12F43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Odolnost trhů</w:t>
      </w:r>
    </w:p>
    <w:p w14:paraId="7CF95504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3F000063" w14:textId="686929DA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Většina hlavních tříd aktiv dosud v roce 2026 dosáhla kladných výnosů, a to navzdory turbulentnímu březnu. Vnímáme to jako připomínku hodnoty setrvání na trhu i v obdobích, kdy investory zaplavuje nepříznivý tok zpráv. Od února se však struktura výnosů změnila. Americké akcie si vedou lépe, než jsme předpokládali v našem výročním investičním výhledu pro rok 2026.</w:t>
      </w:r>
      <w:r w:rsidR="00131862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Domníváme se, že výkonnost finančních trhů ve zbývající části roku bude ve značné míře záviset na vývoji situace na Blízkém východě. Obnovení lodní dopravy přes </w:t>
      </w:r>
      <w:proofErr w:type="spellStart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Hormuzský</w:t>
      </w:r>
      <w:proofErr w:type="spellEnd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průliv by podle našeho názoru mohlo vyvolat silné cyklické oživení, v jehož čele by stály rozvíjející se a evropské trhy.</w:t>
      </w:r>
      <w:r w:rsidR="00131862">
        <w:rPr>
          <w:rFonts w:ascii="Invesco Interstate Light" w:eastAsia="MS Mincho" w:hAnsi="Invesco Interstate Light"/>
          <w:sz w:val="22"/>
          <w:szCs w:val="22"/>
          <w:lang w:eastAsia="ja-JP"/>
        </w:rPr>
        <w:br/>
      </w:r>
    </w:p>
    <w:p w14:paraId="7E1B9AAC" w14:textId="4400278C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Zároveň </w:t>
      </w:r>
      <w:r w:rsidR="00131862">
        <w:rPr>
          <w:rFonts w:ascii="Invesco Interstate Light" w:eastAsia="MS Mincho" w:hAnsi="Invesco Interstate Light"/>
          <w:sz w:val="22"/>
          <w:szCs w:val="22"/>
          <w:lang w:eastAsia="ja-JP"/>
        </w:rPr>
        <w:t>věříme</w:t>
      </w: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, že dobrých výsledků by měly dosahovat také americké akcie a dluhopisy. Ve více cyklických segmentech trhu, jako jsou materiály a průmysl, by však pravděpodobně zaostávaly za ostatními regiony.</w:t>
      </w:r>
    </w:p>
    <w:p w14:paraId="0409A7FB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17E0674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Investiční témata, která stojí za pozornost</w:t>
      </w:r>
    </w:p>
    <w:p w14:paraId="100F8ADA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5ACA4171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Globální ekonomika se vyvíjí a spolu s ní i investiční prostředí. Témata, která podle našeho názoru budou pro investory nejdůležitější ve druhé polovině roku 2026, se soustředí na odolnost trhů, vývoj amerického dolaru, rozvíjející se trhy, umělou inteligenci a alternativní zdroje příjmu a diverzifikace.</w:t>
      </w:r>
    </w:p>
    <w:p w14:paraId="1C3D79D3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Od února se struktura výnosů změnila. Americké akcie si vedou lépe, než jsme očekávali v našem výročním investičním výhledu pro rok 2026.</w:t>
      </w:r>
    </w:p>
    <w:p w14:paraId="4157BBE8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D77568F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Domníváme se, že vývoj trhů ve zbývající části roku bude ve značné míře záviset na situaci na Blízkém východě. Obnovení provozu v </w:t>
      </w:r>
      <w:proofErr w:type="spellStart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Hormuzském</w:t>
      </w:r>
      <w:proofErr w:type="spellEnd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průlivu by podle našeho názoru mohlo vést k výraznému cyklickému oživení, v jehož čele by stály rozvíjející se a evropské trhy. Dobře by si podle nás vedly také americké akcie a dluhopisy, avšak zaostávaly by v cyklických segmentech, jako jsou materiály a průmysl.</w:t>
      </w:r>
    </w:p>
    <w:p w14:paraId="255B0915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640B404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Americký dolar pravděpodobně zůstane pod tlakem</w:t>
      </w:r>
    </w:p>
    <w:p w14:paraId="0CD9CFF5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5B46F842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Jedním ze základních pilířů našeho výročního investičního výhledu pro rok 2026 bylo přesvědčení, že americký dolar v průběhu letošního roku oslabí. Tento názor nadále zastáváme. Podle našich analýz zůstává dolar podle většiny používaných ukazatelů jednou z více nadhodnocených měn. Vypovídající je i skutečnost, že navzdory nedávnému energetickému šoku výrazněji neposílil.</w:t>
      </w:r>
    </w:p>
    <w:p w14:paraId="264F38BF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CAEF104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Pokud se naše očekávání naplní a americký dolar letos skutečně oslabí, předpokládáme, že akcie na trzích mimo Spojené státy, zejména na rozvíjejících se trzích, budou podávat silné výkony.</w:t>
      </w:r>
    </w:p>
    <w:p w14:paraId="1518701C" w14:textId="77777777" w:rsidR="00131862" w:rsidRDefault="00131862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CFBB4EB" w14:textId="77777777" w:rsidR="00131862" w:rsidRDefault="00131862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D4824CC" w14:textId="77777777" w:rsidR="00131862" w:rsidRDefault="00131862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8571EDF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E60F5A6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lastRenderedPageBreak/>
        <w:t>Rozvíjející se trhy jsou v dobré pozici</w:t>
      </w:r>
    </w:p>
    <w:p w14:paraId="0BD3FA03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8BCE149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Slabší americký dolar a zlepšující se dynamika hospodářského růstu podporují naši preferenci pro rozvíjející se trhy. Podle našich analýz některé rozvíjející se ekonomiky, například Tchaj-wan a Jižní Korea, těží z nedostatku hardwaru souvisejícího s umělou inteligencí.</w:t>
      </w:r>
    </w:p>
    <w:p w14:paraId="33B3ABA6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11B6A4A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Aktiva rozvíjejících se trhů by měla profitovat z opětovného zrychlení globální ekonomiky. Některé země budou těžit z růstu cen komodit, jiné z expozice vůči tématu umělé inteligence. Mnohé z těchto trhů navíc podle našeho názoru stále nabízejí atraktivní ocenění.</w:t>
      </w:r>
    </w:p>
    <w:p w14:paraId="60A83529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3C95846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Z investičního pohledu proto zůstáváme pozitivně naladěni na aktiva rozvíjejících se trhů napříč třídami aktiv – ať už jde o akcie, dluhopisy nebo měny.</w:t>
      </w:r>
    </w:p>
    <w:p w14:paraId="5EA131B9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68FD69A2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Umělá inteligence zůstává významnou silou trhu</w:t>
      </w:r>
    </w:p>
    <w:p w14:paraId="61887A5F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5CCA6D7A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Příběh umělé inteligence zůstává dominantním tématem nejen pro finanční trhy, ale i pro řadu ekonomik po celém světě. Nevidíme důvod, proč by se to mělo v dohledné době změnit. Domníváme se však, že se postupně mění způsob, jakým se tento trend promítá do investičních příležitostí a jakým způsobem lze získat expozici vůči tomuto tématu.</w:t>
      </w:r>
    </w:p>
    <w:p w14:paraId="585D549D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CD6C44D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Nadále preferujeme společnosti působící v oblasti polovodičů a hardwaru, zatímco k softwarovým firmám přistupujeme obezřetněji.</w:t>
      </w:r>
    </w:p>
    <w:p w14:paraId="51A85A47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63595CA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I nadále vidíme nové investiční příležitosti vyplývající z rozvoje umělé inteligence a očekáváme, že tento trend bude podporovat výnosy rozvíjejících se trhů i pokračující růst zisků v sektorech, které jsou na AI nejvíce navázány. Patří mezi ně zejména polovodiče, infrastruktura datových center, energetika a komodity.</w:t>
      </w:r>
    </w:p>
    <w:p w14:paraId="00BBDEE9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0C03BBA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Hledejte alternativní zdroje příjmů a diverzifikace</w:t>
      </w:r>
    </w:p>
    <w:p w14:paraId="74CECFB8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9C02424" w14:textId="352E23A9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Přestože s</w:t>
      </w:r>
      <w:r w:rsidR="00131862">
        <w:rPr>
          <w:rFonts w:ascii="Invesco Interstate Light" w:eastAsia="MS Mincho" w:hAnsi="Invesco Interstate Light"/>
          <w:sz w:val="22"/>
          <w:szCs w:val="22"/>
          <w:lang w:eastAsia="ja-JP"/>
        </w:rPr>
        <w:t>i myslíme</w:t>
      </w: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, že současný růst inflace bude omezený a pouze přechodný, jsme přesvědčeni, že inflace se ve většině vyspělých ekonomik v dohledné době nevrátí pod cílové úrovně centrálních bank.</w:t>
      </w:r>
    </w:p>
    <w:p w14:paraId="4B373D30" w14:textId="77777777" w:rsid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Proto preferujeme držení aktiv, jako jsou nemovitosti a soukromé úvěry (</w:t>
      </w:r>
      <w:proofErr w:type="spellStart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private</w:t>
      </w:r>
      <w:proofErr w:type="spellEnd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credit</w:t>
      </w:r>
      <w:proofErr w:type="spellEnd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), které v prostředí vyšší inflace nabízejí jak pravidelný příjem, tak diverzifikační výhody.</w:t>
      </w:r>
    </w:p>
    <w:p w14:paraId="5092FCFE" w14:textId="77777777" w:rsidR="004F4DCF" w:rsidRPr="004F4DCF" w:rsidRDefault="004F4DCF" w:rsidP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7EE75CD" w14:textId="77777777" w:rsidR="004F4DCF" w:rsidRDefault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Za smysluplné považujeme zejména investice do nemovitostí a soukromých úvěrových strategií, jako jsou přímé úvěry (direct </w:t>
      </w:r>
      <w:proofErr w:type="spellStart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lending</w:t>
      </w:r>
      <w:proofErr w:type="spellEnd"/>
      <w:r w:rsidRPr="004F4DCF">
        <w:rPr>
          <w:rFonts w:ascii="Invesco Interstate Light" w:eastAsia="MS Mincho" w:hAnsi="Invesco Interstate Light"/>
          <w:sz w:val="22"/>
          <w:szCs w:val="22"/>
          <w:lang w:eastAsia="ja-JP"/>
        </w:rPr>
        <w:t>), bankovní úvěry nebo zajištěné úvěrové obligace (CLO) s ratingem AAA.</w:t>
      </w:r>
    </w:p>
    <w:p w14:paraId="68527AC2" w14:textId="77777777" w:rsidR="004F4DCF" w:rsidRDefault="004F4DCF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3A57133" w14:textId="02B7FF4F" w:rsidR="004F4DCF" w:rsidRDefault="004F4DCF">
      <w:pPr>
        <w:spacing w:line="240" w:lineRule="auto"/>
        <w:rPr>
          <w:rFonts w:ascii="Invesco Interstate Light" w:hAnsi="Invesco Interstate Light"/>
          <w:b/>
          <w:bCs/>
          <w:sz w:val="22"/>
          <w:szCs w:val="22"/>
        </w:rPr>
      </w:pPr>
    </w:p>
    <w:p w14:paraId="0CCF9D9F" w14:textId="77777777" w:rsidR="004F4DCF" w:rsidRDefault="004F4DCF">
      <w:pPr>
        <w:spacing w:line="240" w:lineRule="auto"/>
        <w:rPr>
          <w:rFonts w:ascii="Invesco Interstate Light" w:hAnsi="Invesco Interstate Light"/>
          <w:b/>
          <w:bCs/>
          <w:sz w:val="22"/>
          <w:szCs w:val="22"/>
        </w:rPr>
      </w:pPr>
    </w:p>
    <w:p w14:paraId="36D7B79A" w14:textId="62FFF128" w:rsidR="00191871" w:rsidRPr="004F4DCF" w:rsidRDefault="00191871">
      <w:pPr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F4DCF">
        <w:rPr>
          <w:rFonts w:ascii="Invesco Interstate Light" w:hAnsi="Invesco Interstate Light"/>
          <w:sz w:val="22"/>
          <w:szCs w:val="22"/>
        </w:rPr>
        <w:br w:type="page"/>
      </w:r>
    </w:p>
    <w:p w14:paraId="6F028E85" w14:textId="77777777" w:rsidR="00CE0E2E" w:rsidRPr="00625782" w:rsidRDefault="00CE0E2E" w:rsidP="00CE0E2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lastRenderedPageBreak/>
        <w:t xml:space="preserve">O společnosti </w:t>
      </w:r>
      <w:proofErr w:type="spellStart"/>
      <w:r w:rsidRPr="00654055">
        <w:rPr>
          <w:rFonts w:ascii="Invesco Interstate Light" w:hAnsi="Invesco Interstate Light"/>
          <w:b/>
          <w:bCs/>
          <w:sz w:val="22"/>
          <w:szCs w:val="22"/>
        </w:rPr>
        <w:t>Invesco</w:t>
      </w:r>
      <w:proofErr w:type="spellEnd"/>
    </w:p>
    <w:p w14:paraId="50226BF1" w14:textId="77777777" w:rsidR="00CE0E2E" w:rsidRPr="00654055" w:rsidRDefault="00CE0E2E" w:rsidP="00CE0E2E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5393DE7B" w14:textId="77777777" w:rsidR="00CE0E2E" w:rsidRPr="000E12B4" w:rsidRDefault="00CE0E2E" w:rsidP="00CE0E2E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Österreich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– pobočka pobočky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 xml:space="preserve">jsou součástí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Ltd., společnosti pro správu aktiv se spravovanými aktivy v hodnotě více než 1 593 miliard USD (k 31. říjnu 2021).</w:t>
      </w:r>
    </w:p>
    <w:p w14:paraId="6ACAFE08" w14:textId="77777777" w:rsidR="00CE0E2E" w:rsidRPr="000E12B4" w:rsidRDefault="00CE0E2E" w:rsidP="00CE0E2E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08806196" w14:textId="77777777" w:rsidR="00CE0E2E" w:rsidRPr="000E12B4" w:rsidRDefault="00CE0E2E" w:rsidP="00CE0E2E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 případě jakýchkoli dotazů nebo potřeby dalších informací se obraťte na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Valentin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Jakubow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>, telefon +49 69 29807-311.</w:t>
      </w:r>
    </w:p>
    <w:p w14:paraId="402C6187" w14:textId="77777777" w:rsidR="00CE0E2E" w:rsidRPr="000E12B4" w:rsidRDefault="00CE0E2E" w:rsidP="00CE0E2E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01A64E11" w14:textId="77777777" w:rsidR="00CE0E2E" w:rsidRPr="000E12B4" w:rsidRDefault="00CE0E2E" w:rsidP="00CE0E2E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40D835E" w14:textId="77777777" w:rsidR="00CE0E2E" w:rsidRPr="000E12B4" w:rsidRDefault="00CE0E2E" w:rsidP="00CE0E2E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57598E5" w14:textId="77777777" w:rsidR="00CE0E2E" w:rsidRPr="000E12B4" w:rsidRDefault="00CE0E2E" w:rsidP="00CE0E2E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3B777623" w14:textId="77777777" w:rsidR="00CE0E2E" w:rsidRDefault="00CE0E2E" w:rsidP="00CE0E2E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Vydavatelem těchto informací v České republice je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An der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Welle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Red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Oak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ID: 1958016</w:t>
      </w:r>
    </w:p>
    <w:p w14:paraId="6D0EE20A" w14:textId="77777777" w:rsidR="00CE0E2E" w:rsidRDefault="00CE0E2E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</w:p>
    <w:p w14:paraId="6F193651" w14:textId="09D93690" w:rsidR="00861B48" w:rsidRPr="000B3486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  <w:r w:rsidRPr="000B3486">
        <w:rPr>
          <w:rFonts w:ascii="Invesco Interstate Light" w:hAnsi="Invesco Interstate Light"/>
          <w:b/>
          <w:bCs/>
          <w:sz w:val="22"/>
          <w:szCs w:val="22"/>
        </w:rPr>
        <w:t>Pro více informací kontaktujte:</w:t>
      </w:r>
    </w:p>
    <w:p w14:paraId="2D8CCFC3" w14:textId="5D8355FB" w:rsidR="002355DD" w:rsidRPr="000B3486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>Eliška Krohová</w:t>
      </w:r>
    </w:p>
    <w:p w14:paraId="6206EFAC" w14:textId="2C72E8F6" w:rsidR="002355DD" w:rsidRPr="000B3486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>Crest Communications, a.s.</w:t>
      </w:r>
    </w:p>
    <w:p w14:paraId="3F25933E" w14:textId="775E272C" w:rsidR="002355DD" w:rsidRPr="000B3486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5B14254F" w:rsidR="002355DD" w:rsidRPr="000B3486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113036F6" w:rsidR="002355DD" w:rsidRPr="000B3486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proofErr w:type="spellStart"/>
      <w:r w:rsidRPr="000B3486">
        <w:rPr>
          <w:rFonts w:ascii="Invesco Interstate Light" w:hAnsi="Invesco Interstate Light"/>
          <w:sz w:val="22"/>
          <w:szCs w:val="22"/>
        </w:rPr>
        <w:t>gsm</w:t>
      </w:r>
      <w:proofErr w:type="spellEnd"/>
      <w:r w:rsidRPr="000B3486">
        <w:rPr>
          <w:rFonts w:ascii="Invesco Interstate Light" w:hAnsi="Invesco Interstate Light"/>
          <w:sz w:val="22"/>
          <w:szCs w:val="22"/>
        </w:rPr>
        <w:t>: + 420 720 406 659</w:t>
      </w:r>
    </w:p>
    <w:p w14:paraId="4ADA8001" w14:textId="78096E9A" w:rsidR="00B84512" w:rsidRPr="000B3486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0B3486">
        <w:rPr>
          <w:rFonts w:ascii="Invesco Interstate Light" w:hAnsi="Invesco Interstate Light"/>
          <w:sz w:val="22"/>
          <w:szCs w:val="22"/>
        </w:rPr>
        <w:t xml:space="preserve">e-mail: </w:t>
      </w:r>
      <w:hyperlink r:id="rId12" w:history="1">
        <w:r w:rsidRPr="000B3486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0B3486" w:rsidSect="004854C2">
      <w:headerReference w:type="default" r:id="rId13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4CCF" w14:textId="77777777" w:rsidR="00CF2C0E" w:rsidRDefault="00CF2C0E">
      <w:r>
        <w:separator/>
      </w:r>
    </w:p>
  </w:endnote>
  <w:endnote w:type="continuationSeparator" w:id="0">
    <w:p w14:paraId="28861C3E" w14:textId="77777777" w:rsidR="00CF2C0E" w:rsidRDefault="00CF2C0E">
      <w:r>
        <w:continuationSeparator/>
      </w:r>
    </w:p>
  </w:endnote>
  <w:endnote w:type="continuationNotice" w:id="1">
    <w:p w14:paraId="6ED586BD" w14:textId="77777777" w:rsidR="00CF2C0E" w:rsidRDefault="00CF2C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C15E" w14:textId="77777777" w:rsidR="00CF2C0E" w:rsidRDefault="00CF2C0E">
      <w:r>
        <w:separator/>
      </w:r>
    </w:p>
  </w:footnote>
  <w:footnote w:type="continuationSeparator" w:id="0">
    <w:p w14:paraId="5011CBF1" w14:textId="77777777" w:rsidR="00CF2C0E" w:rsidRDefault="00CF2C0E">
      <w:r>
        <w:continuationSeparator/>
      </w:r>
    </w:p>
  </w:footnote>
  <w:footnote w:type="continuationNotice" w:id="1">
    <w:p w14:paraId="383E56CB" w14:textId="77777777" w:rsidR="00CF2C0E" w:rsidRDefault="00CF2C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A5D358">
      <w:rPr>
        <w:rFonts w:ascii="Invesco Interstate Bold" w:hAnsi="Invesco Interstate Bold"/>
        <w:sz w:val="28"/>
        <w:szCs w:val="28"/>
      </w:rPr>
      <w:t xml:space="preserve">Press </w:t>
    </w:r>
    <w:proofErr w:type="spellStart"/>
    <w:r w:rsidR="59A5D358">
      <w:rPr>
        <w:rFonts w:ascii="Invesco Interstate Bold" w:hAnsi="Invesco Interstate Bold"/>
        <w:sz w:val="28"/>
        <w:szCs w:val="28"/>
      </w:rPr>
      <w:t>release</w:t>
    </w:r>
    <w:proofErr w:type="spellEnd"/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334D1200" w:rsidR="00702C33" w:rsidRPr="000730A6" w:rsidRDefault="004F4DCF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18</w:t>
    </w:r>
    <w:r w:rsidR="0083625E">
      <w:rPr>
        <w:color w:val="000000"/>
        <w:sz w:val="28"/>
        <w:szCs w:val="28"/>
      </w:rPr>
      <w:t>.</w:t>
    </w:r>
    <w:r>
      <w:rPr>
        <w:color w:val="000000"/>
        <w:sz w:val="28"/>
        <w:szCs w:val="28"/>
      </w:rPr>
      <w:t>6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3D67B0">
      <w:rPr>
        <w:color w:val="000000"/>
        <w:sz w:val="28"/>
        <w:szCs w:val="28"/>
      </w:rPr>
      <w:t>6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B23"/>
    <w:multiLevelType w:val="multilevel"/>
    <w:tmpl w:val="11820CCE"/>
    <w:numStyleLink w:val="FormatvorlageAufgezhlt"/>
  </w:abstractNum>
  <w:abstractNum w:abstractNumId="21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7F26D6"/>
    <w:multiLevelType w:val="multilevel"/>
    <w:tmpl w:val="4DC4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34BE7"/>
    <w:multiLevelType w:val="multilevel"/>
    <w:tmpl w:val="238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55888"/>
    <w:multiLevelType w:val="multilevel"/>
    <w:tmpl w:val="3136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403C3"/>
    <w:multiLevelType w:val="multilevel"/>
    <w:tmpl w:val="11820CCE"/>
    <w:numStyleLink w:val="FormatvorlageAufgezhlt"/>
  </w:abstractNum>
  <w:abstractNum w:abstractNumId="33" w15:restartNumberingAfterBreak="0">
    <w:nsid w:val="6C6C4721"/>
    <w:multiLevelType w:val="multilevel"/>
    <w:tmpl w:val="11820CCE"/>
    <w:numStyleLink w:val="FormatvorlageAufgezhlt"/>
  </w:abstractNum>
  <w:abstractNum w:abstractNumId="34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B6BE8"/>
    <w:multiLevelType w:val="multilevel"/>
    <w:tmpl w:val="F49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E5380B"/>
    <w:multiLevelType w:val="multilevel"/>
    <w:tmpl w:val="11820CCE"/>
    <w:numStyleLink w:val="FormatvorlageAufgezhlt"/>
  </w:abstractNum>
  <w:abstractNum w:abstractNumId="37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023">
    <w:abstractNumId w:val="0"/>
  </w:num>
  <w:num w:numId="2" w16cid:durableId="165101048">
    <w:abstractNumId w:val="16"/>
  </w:num>
  <w:num w:numId="3" w16cid:durableId="1282105589">
    <w:abstractNumId w:val="28"/>
  </w:num>
  <w:num w:numId="4" w16cid:durableId="1617441895">
    <w:abstractNumId w:val="17"/>
  </w:num>
  <w:num w:numId="5" w16cid:durableId="1267425896">
    <w:abstractNumId w:val="20"/>
  </w:num>
  <w:num w:numId="6" w16cid:durableId="1792238606">
    <w:abstractNumId w:val="32"/>
  </w:num>
  <w:num w:numId="7" w16cid:durableId="190919629">
    <w:abstractNumId w:val="33"/>
  </w:num>
  <w:num w:numId="8" w16cid:durableId="2083285618">
    <w:abstractNumId w:val="1"/>
  </w:num>
  <w:num w:numId="9" w16cid:durableId="1653213567">
    <w:abstractNumId w:val="36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42"/>
  </w:num>
  <w:num w:numId="14" w16cid:durableId="2009676695">
    <w:abstractNumId w:val="43"/>
  </w:num>
  <w:num w:numId="15" w16cid:durableId="1629623239">
    <w:abstractNumId w:val="27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31"/>
  </w:num>
  <w:num w:numId="19" w16cid:durableId="832065860">
    <w:abstractNumId w:val="34"/>
  </w:num>
  <w:num w:numId="20" w16cid:durableId="667943464">
    <w:abstractNumId w:val="40"/>
  </w:num>
  <w:num w:numId="21" w16cid:durableId="225343112">
    <w:abstractNumId w:val="38"/>
  </w:num>
  <w:num w:numId="22" w16cid:durableId="1319532336">
    <w:abstractNumId w:val="13"/>
  </w:num>
  <w:num w:numId="23" w16cid:durableId="1341154147">
    <w:abstractNumId w:val="26"/>
  </w:num>
  <w:num w:numId="24" w16cid:durableId="796413596">
    <w:abstractNumId w:val="18"/>
  </w:num>
  <w:num w:numId="25" w16cid:durableId="2010979537">
    <w:abstractNumId w:val="41"/>
  </w:num>
  <w:num w:numId="26" w16cid:durableId="951936802">
    <w:abstractNumId w:val="24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7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3"/>
  </w:num>
  <w:num w:numId="34" w16cid:durableId="511531335">
    <w:abstractNumId w:val="19"/>
  </w:num>
  <w:num w:numId="35" w16cid:durableId="1821118983">
    <w:abstractNumId w:val="21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9"/>
  </w:num>
  <w:num w:numId="39" w16cid:durableId="1411855782">
    <w:abstractNumId w:val="29"/>
  </w:num>
  <w:num w:numId="40" w16cid:durableId="1680741308">
    <w:abstractNumId w:val="4"/>
  </w:num>
  <w:num w:numId="41" w16cid:durableId="1307934230">
    <w:abstractNumId w:val="25"/>
  </w:num>
  <w:num w:numId="42" w16cid:durableId="1547260435">
    <w:abstractNumId w:val="35"/>
  </w:num>
  <w:num w:numId="43" w16cid:durableId="779421420">
    <w:abstractNumId w:val="22"/>
  </w:num>
  <w:num w:numId="44" w16cid:durableId="15416732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38A9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4B4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43"/>
    <w:rsid w:val="000769F3"/>
    <w:rsid w:val="00077802"/>
    <w:rsid w:val="00077A79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486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3283"/>
    <w:rsid w:val="000D442D"/>
    <w:rsid w:val="000D4614"/>
    <w:rsid w:val="000D4A9F"/>
    <w:rsid w:val="000D54B1"/>
    <w:rsid w:val="000D54BF"/>
    <w:rsid w:val="000D5865"/>
    <w:rsid w:val="000D5B26"/>
    <w:rsid w:val="000D60B1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3A43"/>
    <w:rsid w:val="0010403D"/>
    <w:rsid w:val="0010411E"/>
    <w:rsid w:val="00104A41"/>
    <w:rsid w:val="00104C48"/>
    <w:rsid w:val="00105028"/>
    <w:rsid w:val="0010628B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1862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958"/>
    <w:rsid w:val="00164CA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28E0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1871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44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40E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A08"/>
    <w:rsid w:val="001C439F"/>
    <w:rsid w:val="001C4DAE"/>
    <w:rsid w:val="001C5054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7AE"/>
    <w:rsid w:val="001E290E"/>
    <w:rsid w:val="001E3CFF"/>
    <w:rsid w:val="001E411A"/>
    <w:rsid w:val="001E4D11"/>
    <w:rsid w:val="001E5715"/>
    <w:rsid w:val="001E5F61"/>
    <w:rsid w:val="001E6359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7B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688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3C5E"/>
    <w:rsid w:val="00264619"/>
    <w:rsid w:val="0026474E"/>
    <w:rsid w:val="002647C2"/>
    <w:rsid w:val="0026487E"/>
    <w:rsid w:val="0026495E"/>
    <w:rsid w:val="00264E9C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446C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48D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7EC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204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DA2"/>
    <w:rsid w:val="00361E31"/>
    <w:rsid w:val="00361E62"/>
    <w:rsid w:val="00362109"/>
    <w:rsid w:val="00362710"/>
    <w:rsid w:val="003647F8"/>
    <w:rsid w:val="0036569C"/>
    <w:rsid w:val="0036612D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15AC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67B0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30C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926"/>
    <w:rsid w:val="00405590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1B4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AA1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0D8"/>
    <w:rsid w:val="004B4A33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25E"/>
    <w:rsid w:val="004C73B4"/>
    <w:rsid w:val="004D0317"/>
    <w:rsid w:val="004D03DD"/>
    <w:rsid w:val="004D1118"/>
    <w:rsid w:val="004D11F2"/>
    <w:rsid w:val="004D1258"/>
    <w:rsid w:val="004D21A4"/>
    <w:rsid w:val="004D303F"/>
    <w:rsid w:val="004D32E9"/>
    <w:rsid w:val="004D4150"/>
    <w:rsid w:val="004D518E"/>
    <w:rsid w:val="004D5803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4DCF"/>
    <w:rsid w:val="004F502B"/>
    <w:rsid w:val="004F5534"/>
    <w:rsid w:val="004F5628"/>
    <w:rsid w:val="004F5989"/>
    <w:rsid w:val="004F658B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16CC8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302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1B3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C8B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06AF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32A3"/>
    <w:rsid w:val="00624F63"/>
    <w:rsid w:val="00625088"/>
    <w:rsid w:val="00625117"/>
    <w:rsid w:val="006254BE"/>
    <w:rsid w:val="00625782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0CB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1E12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063C"/>
    <w:rsid w:val="006A200C"/>
    <w:rsid w:val="006A27C8"/>
    <w:rsid w:val="006A2FA3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019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3D5E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499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199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251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4F41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143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38"/>
    <w:rsid w:val="007E31FF"/>
    <w:rsid w:val="007E46DD"/>
    <w:rsid w:val="007E54BA"/>
    <w:rsid w:val="007E56F4"/>
    <w:rsid w:val="007E61AE"/>
    <w:rsid w:val="007E6FF3"/>
    <w:rsid w:val="007E7956"/>
    <w:rsid w:val="007F0994"/>
    <w:rsid w:val="007F1CC9"/>
    <w:rsid w:val="007F225B"/>
    <w:rsid w:val="007F26D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8DA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1182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C35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56FFF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6F3"/>
    <w:rsid w:val="00863CE0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4C3B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61C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420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9AB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5A07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1CBB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690"/>
    <w:rsid w:val="009B290A"/>
    <w:rsid w:val="009B2A61"/>
    <w:rsid w:val="009B2AB8"/>
    <w:rsid w:val="009B2E17"/>
    <w:rsid w:val="009B3E43"/>
    <w:rsid w:val="009B5382"/>
    <w:rsid w:val="009B5A79"/>
    <w:rsid w:val="009B5F2C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492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6BBF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0EF3"/>
    <w:rsid w:val="00A11805"/>
    <w:rsid w:val="00A1273D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0614"/>
    <w:rsid w:val="00A41238"/>
    <w:rsid w:val="00A41792"/>
    <w:rsid w:val="00A42B45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1D69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B81"/>
    <w:rsid w:val="00AA0E30"/>
    <w:rsid w:val="00AA1965"/>
    <w:rsid w:val="00AA1A1F"/>
    <w:rsid w:val="00AA2953"/>
    <w:rsid w:val="00AA39AF"/>
    <w:rsid w:val="00AA3D1C"/>
    <w:rsid w:val="00AA42A2"/>
    <w:rsid w:val="00AA42B6"/>
    <w:rsid w:val="00AA4D2E"/>
    <w:rsid w:val="00AA61F2"/>
    <w:rsid w:val="00AA6559"/>
    <w:rsid w:val="00AA733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024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553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515"/>
    <w:rsid w:val="00B015F9"/>
    <w:rsid w:val="00B0183D"/>
    <w:rsid w:val="00B024AF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6402"/>
    <w:rsid w:val="00B973D7"/>
    <w:rsid w:val="00B97B75"/>
    <w:rsid w:val="00B97D67"/>
    <w:rsid w:val="00BA0C1E"/>
    <w:rsid w:val="00BA0FFB"/>
    <w:rsid w:val="00BA2966"/>
    <w:rsid w:val="00BA3582"/>
    <w:rsid w:val="00BA38D5"/>
    <w:rsid w:val="00BA42A0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593"/>
    <w:rsid w:val="00BD684B"/>
    <w:rsid w:val="00BD6D92"/>
    <w:rsid w:val="00BD6DE1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8FF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1C4F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27D35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6BCE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4089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603"/>
    <w:rsid w:val="00C92858"/>
    <w:rsid w:val="00C941EB"/>
    <w:rsid w:val="00C9465C"/>
    <w:rsid w:val="00C94C92"/>
    <w:rsid w:val="00C95E87"/>
    <w:rsid w:val="00C9665B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A7E1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563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E0837"/>
    <w:rsid w:val="00CE0D63"/>
    <w:rsid w:val="00CE0E2E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004A"/>
    <w:rsid w:val="00CF154F"/>
    <w:rsid w:val="00CF2C0E"/>
    <w:rsid w:val="00CF3286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27656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2D2"/>
    <w:rsid w:val="00D5484B"/>
    <w:rsid w:val="00D55031"/>
    <w:rsid w:val="00D56654"/>
    <w:rsid w:val="00D56709"/>
    <w:rsid w:val="00D60133"/>
    <w:rsid w:val="00D60C5E"/>
    <w:rsid w:val="00D61CF1"/>
    <w:rsid w:val="00D61D4C"/>
    <w:rsid w:val="00D61D6C"/>
    <w:rsid w:val="00D62166"/>
    <w:rsid w:val="00D6267D"/>
    <w:rsid w:val="00D62DDB"/>
    <w:rsid w:val="00D630FA"/>
    <w:rsid w:val="00D631C3"/>
    <w:rsid w:val="00D63C0B"/>
    <w:rsid w:val="00D6401C"/>
    <w:rsid w:val="00D669B3"/>
    <w:rsid w:val="00D66A0A"/>
    <w:rsid w:val="00D66EBA"/>
    <w:rsid w:val="00D67D74"/>
    <w:rsid w:val="00D7012F"/>
    <w:rsid w:val="00D71CCD"/>
    <w:rsid w:val="00D71F75"/>
    <w:rsid w:val="00D735BC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5FA"/>
    <w:rsid w:val="00DA0DA9"/>
    <w:rsid w:val="00DA0DE3"/>
    <w:rsid w:val="00DA148E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1"/>
    <w:rsid w:val="00DC121B"/>
    <w:rsid w:val="00DC1E48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1428"/>
    <w:rsid w:val="00DD2556"/>
    <w:rsid w:val="00DD2CDE"/>
    <w:rsid w:val="00DD3327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F0651"/>
    <w:rsid w:val="00DF0818"/>
    <w:rsid w:val="00DF08A2"/>
    <w:rsid w:val="00DF0BCA"/>
    <w:rsid w:val="00DF114B"/>
    <w:rsid w:val="00DF117D"/>
    <w:rsid w:val="00DF1B81"/>
    <w:rsid w:val="00DF1F6E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4967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6FF2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3DFD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342"/>
    <w:rsid w:val="00EA249C"/>
    <w:rsid w:val="00EA2639"/>
    <w:rsid w:val="00EA297F"/>
    <w:rsid w:val="00EA2F70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77E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0868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3EC"/>
    <w:rsid w:val="00FD68F0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77BFD9C"/>
    <w:rsid w:val="4E481D2D"/>
    <w:rsid w:val="59A5D358"/>
    <w:rsid w:val="61727A13"/>
    <w:rsid w:val="741F2CED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F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iska.kroh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104B0-2F76-441B-B499-10EFE414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Performance</vt:lpstr>
    </vt:vector>
  </TitlesOfParts>
  <Company>INVESCO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Jana Bělochová | CrestCommunications a.s.</cp:lastModifiedBy>
  <cp:revision>4</cp:revision>
  <cp:lastPrinted>2021-02-17T20:24:00Z</cp:lastPrinted>
  <dcterms:created xsi:type="dcterms:W3CDTF">2026-06-18T07:58:00Z</dcterms:created>
  <dcterms:modified xsi:type="dcterms:W3CDTF">2026-06-18T08:02:00Z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